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2DF0" w14:textId="710CB95C" w:rsidR="00161E83" w:rsidRDefault="00161E83" w:rsidP="00161E8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bg-BG"/>
        </w:rPr>
      </w:pPr>
    </w:p>
    <w:p w14:paraId="59C40AFA" w14:textId="5774D811" w:rsidR="002E672D" w:rsidRPr="002E672D" w:rsidRDefault="002E672D" w:rsidP="00482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УМБАЛ „Д-р Георги Странски“ – Плевен </w:t>
      </w:r>
      <w:r w:rsidR="007274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започва изпълнението на </w:t>
      </w:r>
      <w:r w:rsidRPr="002E6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мащабен проект за модернизация на здравната и зелената инфраструктура</w:t>
      </w:r>
    </w:p>
    <w:p w14:paraId="5310D45C" w14:textId="3A8374AA" w:rsidR="007274DF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УМБАЛ „Д-р Георги Странски“ – Плевен започва изпълнението на проект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BG16FFPR003-2.002-0012 „Единно здраве за Северозападен регион“ 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Програма „Развитие на регионите“ 2021–2027, съфинансиран от ЕФРР и националния бюджет. </w:t>
      </w:r>
    </w:p>
    <w:p w14:paraId="7EC09DF5" w14:textId="17D186A8" w:rsidR="007E54CF" w:rsidRPr="004A3BC1" w:rsidRDefault="007274DF" w:rsidP="004A3B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се изпълнява в партньорство с 21 партньори 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Северозападен регион – водещ партньор МУ-Плевен, Община Плевен, УМБАЛ “ </w:t>
      </w:r>
      <w:r w:rsidR="00A54E7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>-р Георги Странски“ ЕАД, Община Троян, МБАЛ- Троян ЕООД, Специализирана болница за активно лечение на белодробни болести – Троян ЕООД, Община Ловеч, МБАЛ „Проф. д-р Параскев Стояно</w:t>
      </w:r>
      <w:r w:rsidR="00A54E7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АД – гр. Ловеч, Община Никопол, МБАЛ Никопол ЕООД, Община Белене, МБАЛ Белене ЕООД, Община Левски, МБАЛ Левски ЕООД, Община Кнежа, МБАЛ Кнежа ЕООД, Община Искър, Община Пордим, Община Тетевен, МБАЛ Тетевен- д-р Ангел Пешев ЕООД, Национална професионална гимназия по ветеринарна медицина „Проф. д-р Д. Димов“ Ловеч и Министерство на здравеопазването.</w:t>
      </w:r>
    </w:p>
    <w:p w14:paraId="14416997" w14:textId="77777777" w:rsidR="007274DF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рамките на 36 месеца болницата ще реализира две ключови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дейности:</w:t>
      </w:r>
    </w:p>
    <w:p w14:paraId="41D883E0" w14:textId="26A76E47" w:rsidR="00582AA7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1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КИТИ - Изграждане на здравна инфраструктура в СЗР в контекста на общата стратегия за „Единно здраве“ по Мярка 1 – Закупуване на ново оборудване в болниците за диагностика на сърдечносъдови и онкологични заболявания вкл. зали за телемедицина и телепатология.</w:t>
      </w:r>
      <w:r w:rsidR="0048241C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16FFEA4D" w14:textId="2A275456" w:rsidR="0048241C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241C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 </w:t>
      </w:r>
      <w:r w:rsidR="002237D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8241C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3 на КИТИ - Изграждане на зелена градска инфраструктура и сигурност в обществени пространства и подобряване на енергийната ефективност в СЗР в контекста на общата стратегия за „Единно здраве“ по Мярка 2 – Изграждане на обществени зони за отдих и зелени площи на територията на УМБАЛ-Плевен.</w:t>
      </w:r>
    </w:p>
    <w:p w14:paraId="20367398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Модерна здравна инфраструктура и телемедицина</w:t>
      </w:r>
    </w:p>
    <w:p w14:paraId="63FD5E64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предвижда значително обновяване на апаратурата за диагностика на сърдечно-съдови и онкологични заболявания чрез закупуване на високотехнологично оборудване, включително компютърен томограф, ехокардиографи, видеоендоскопски системи, дефибрилатори, монитори, холтери, стрес-тест система и др.</w:t>
      </w:r>
    </w:p>
    <w:p w14:paraId="0A1B09CF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бъдат изградени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две зали за телемедицина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кардиологичното и онкологичното отделение, които ще позволят дистанционни консултации със специалисти и болници партньори чрез свързаност с ИКТ центъра на МУ–Плевен.</w:t>
      </w:r>
    </w:p>
    <w:p w14:paraId="4A53F7C1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онкологичния блок ще бъдат модернизирани две операционни зали чрез инсталиране на ново 4К видеоендоскопско оборудване, операционни лампи, медицински монитори и обновяване на инсталации, необходими за тяхната безпроблемна работа.</w:t>
      </w:r>
    </w:p>
    <w:p w14:paraId="125491BD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Зелена инфраструктура и ВЕИ</w:t>
      </w:r>
    </w:p>
    <w:p w14:paraId="5167C558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рамките на дейността „Зелена УМБАЛ-Плевен“ болницата ще рехабилитира над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хектар паркови площи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, ще обнови осветление, ВиК инфраструктура, системи за наблюдение и достъп, както и ще изгради минимум 30 нови паркоместа.</w:t>
      </w:r>
    </w:p>
    <w:p w14:paraId="150A97F7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Предвидено е изграждането на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паркинг клетки с фотоволтаични панели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осигуряват енергия от възобновяеми източници за нуждите на зелените пространства и комплекса.</w:t>
      </w:r>
    </w:p>
    <w:p w14:paraId="52748DC9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следва принципите на Новия Европейски Баухаус, като цели създаване на красива, функционална и достъпна среда, подходяща и за хора в неравностойно положение.</w:t>
      </w:r>
    </w:p>
    <w:p w14:paraId="5C70348E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Очакван ефект</w:t>
      </w:r>
    </w:p>
    <w:p w14:paraId="579D11F0" w14:textId="06DD7B63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изпълнението на проекта УМБАЛ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„Д-р Георги Странски“ЕАД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осигури съвременни условия за диагностика и лечение, ще разшири достъпа до висококачествени здравни услуги и телемедицина за жители на по-малки и отдалечени населени места. Зеленият компонент ще повиши качеството на градската среда и ще допринесе за по-здравословна и устойчива болнична инфраструктура.</w:t>
      </w:r>
    </w:p>
    <w:p w14:paraId="6DE77F11" w14:textId="77D4519E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ще бъде управляван от специално назначен екип, а всички дейности ще се изпълняват при пълна прозрачност и спазване на изискванията на ЗОП. Новини за напредъка ще бъдат публикувани на сайта на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УМБАЛ „Д-р Георги Странски“ЕАД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1B6EABD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Финансиране</w:t>
      </w:r>
    </w:p>
    <w:p w14:paraId="71583AEF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е финансиран от Европейския съюз по Програма „Развитие на регионите“ 2021-2027, Договор за БФП №РД-02-29-1123/30.10.2025</w:t>
      </w:r>
    </w:p>
    <w:p w14:paraId="3256F643" w14:textId="22D59D03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 стойност на допустимите разходи по проекта е в размер на 46 907 088,87 лв..</w:t>
      </w:r>
    </w:p>
    <w:p w14:paraId="17054594" w14:textId="1F4D722A" w:rsidR="00582AA7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Общата стойност на финансирането за </w:t>
      </w:r>
      <w:r w:rsidR="001837F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УМБАЛ Д-Р ГЕОРГИ СТРАНСКИ</w:t>
      </w:r>
      <w:r w:rsidR="001837F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ЕАД по АДБФП BG16FFPR003-2.006-00</w:t>
      </w:r>
      <w:r w:rsidR="002F014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1-</w:t>
      </w:r>
      <w:r w:rsidRPr="0076075D">
        <w:rPr>
          <w:rFonts w:ascii="Times New Roman" w:eastAsia="Times New Roman" w:hAnsi="Times New Roman" w:cs="Times New Roman"/>
          <w:sz w:val="24"/>
          <w:szCs w:val="24"/>
          <w:lang w:eastAsia="bg-BG"/>
        </w:rPr>
        <w:t>С01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в размер на  </w:t>
      </w: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7 867 233, 56 лв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14:paraId="63C846B8" w14:textId="598CBB0F" w:rsidR="0085561C" w:rsidRPr="009352DC" w:rsidRDefault="00DB3051" w:rsidP="0085561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7 849 112</w:t>
      </w:r>
      <w:r w:rsidR="0085561C"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  <w:r w:rsidR="0085561C"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лв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. – безвъзмездна финансова помощ по Програма „Развитие на регионите“, от които 6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671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745,59 лв. европейско финансиране и 1 177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366,87 лв. национално съфинансиране</w:t>
      </w:r>
    </w:p>
    <w:p w14:paraId="154DDE82" w14:textId="10849459" w:rsidR="0085561C" w:rsidRPr="009352DC" w:rsidRDefault="0085561C" w:rsidP="0085561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18 121,10 лв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. – съфинансиране от страна на УМБАЛ  Плевен</w:t>
      </w:r>
    </w:p>
    <w:p w14:paraId="45092A1C" w14:textId="01B5F34A" w:rsidR="00554675" w:rsidRPr="009352DC" w:rsidRDefault="00554675" w:rsidP="00FA2D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66B57A" w14:textId="77777777" w:rsidR="0085561C" w:rsidRDefault="0085561C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134CDC32" w14:textId="77777777" w:rsidR="0085561C" w:rsidRPr="00FA2D70" w:rsidRDefault="0085561C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C43061F" w14:textId="0C4548E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197A3359" w14:textId="4B3B643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4080B759" w14:textId="260F620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730B043" w14:textId="3470DAEA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688B01CC" w14:textId="5F544303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E9BC1E7" w14:textId="09415346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2A24537C" w14:textId="44C79156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sectPr w:rsidR="00554675" w:rsidRPr="00FA2D70" w:rsidSect="00257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5" w:right="851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93A9" w14:textId="77777777" w:rsidR="00A04BB1" w:rsidRDefault="00A04BB1">
      <w:pPr>
        <w:spacing w:line="240" w:lineRule="auto"/>
      </w:pPr>
      <w:r>
        <w:separator/>
      </w:r>
    </w:p>
  </w:endnote>
  <w:endnote w:type="continuationSeparator" w:id="0">
    <w:p w14:paraId="2362AB77" w14:textId="77777777" w:rsidR="00A04BB1" w:rsidRDefault="00A0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CB7D" w14:textId="77777777" w:rsidR="00AE2DE3" w:rsidRDefault="00AE2D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627"/>
    </w:tblGrid>
    <w:tr w:rsidR="00626596" w14:paraId="70CEE64E" w14:textId="77777777" w:rsidTr="008065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" w:type="dxa"/>
          <w:tcBorders>
            <w:bottom w:val="none" w:sz="0" w:space="0" w:color="auto"/>
          </w:tcBorders>
        </w:tcPr>
        <w:p w14:paraId="7A0D14A4" w14:textId="77777777" w:rsidR="00626596" w:rsidRDefault="00626596" w:rsidP="00626596">
          <w:pPr>
            <w:spacing w:before="120"/>
            <w:jc w:val="both"/>
            <w:rPr>
              <w:rFonts w:ascii="Times New Roman" w:hAnsi="Times New Roman" w:cs="Times New Roman"/>
              <w:b w:val="0"/>
              <w:sz w:val="24"/>
              <w:szCs w:val="24"/>
              <w:u w:val="single"/>
            </w:rPr>
          </w:pPr>
        </w:p>
      </w:tc>
      <w:tc>
        <w:tcPr>
          <w:tcW w:w="9627" w:type="dxa"/>
          <w:tcBorders>
            <w:bottom w:val="none" w:sz="0" w:space="0" w:color="auto"/>
          </w:tcBorders>
          <w:vAlign w:val="center"/>
        </w:tcPr>
        <w:p w14:paraId="62DDC4AC" w14:textId="2B6E7885" w:rsidR="00626596" w:rsidRPr="00992B05" w:rsidRDefault="00626596" w:rsidP="00806527">
          <w:pPr>
            <w:tabs>
              <w:tab w:val="center" w:pos="4153"/>
              <w:tab w:val="right" w:pos="8306"/>
            </w:tabs>
            <w:spacing w:after="0"/>
            <w:ind w:left="-532" w:firstLine="5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 w:cs="Times New Roman"/>
              <w:sz w:val="16"/>
              <w:szCs w:val="16"/>
            </w:rPr>
          </w:pPr>
          <w:r w:rsidRPr="00F5390C">
            <w:rPr>
              <w:rFonts w:eastAsia="Times New Roman"/>
              <w:i/>
              <w:sz w:val="16"/>
              <w:szCs w:val="16"/>
            </w:rPr>
            <w:t xml:space="preserve">Този документ е създаден в рамките на </w:t>
          </w:r>
          <w:r>
            <w:rPr>
              <w:rFonts w:eastAsia="Times New Roman"/>
              <w:i/>
              <w:sz w:val="16"/>
              <w:szCs w:val="16"/>
            </w:rPr>
            <w:t>проект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 </w:t>
          </w:r>
          <w:r w:rsidRPr="00216107">
            <w:rPr>
              <w:rFonts w:eastAsia="Times New Roman"/>
              <w:i/>
              <w:sz w:val="16"/>
              <w:szCs w:val="16"/>
            </w:rPr>
            <w:t>BG16FFPR003-2.002-0012</w:t>
          </w:r>
          <w:r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Pr="00992B05">
            <w:rPr>
              <w:rFonts w:eastAsia="Times New Roman"/>
              <w:i/>
              <w:sz w:val="16"/>
              <w:szCs w:val="16"/>
            </w:rPr>
            <w:t xml:space="preserve">“ </w:t>
          </w:r>
          <w:r w:rsidRPr="00216107">
            <w:rPr>
              <w:rFonts w:eastAsia="Times New Roman"/>
              <w:i/>
              <w:sz w:val="16"/>
              <w:szCs w:val="16"/>
            </w:rPr>
            <w:t>Единно здраве за Северозападен регион</w:t>
          </w:r>
          <w:r w:rsidRPr="00992B05">
            <w:rPr>
              <w:rFonts w:eastAsia="Times New Roman"/>
              <w:i/>
              <w:sz w:val="16"/>
              <w:szCs w:val="16"/>
            </w:rPr>
            <w:t>“</w:t>
          </w:r>
          <w:r>
            <w:rPr>
              <w:rFonts w:eastAsia="Times New Roman"/>
              <w:i/>
              <w:sz w:val="16"/>
              <w:szCs w:val="16"/>
            </w:rPr>
            <w:t xml:space="preserve"> АДБФП BG16FFPR003-2.006-0021</w:t>
          </w:r>
          <w:r w:rsidRPr="00992B05">
            <w:rPr>
              <w:rFonts w:eastAsia="Times New Roman"/>
              <w:i/>
              <w:sz w:val="16"/>
              <w:szCs w:val="16"/>
            </w:rPr>
            <w:t>,</w:t>
          </w:r>
          <w:r w:rsidRPr="00F5390C">
            <w:rPr>
              <w:rFonts w:eastAsia="Times New Roman"/>
              <w:i/>
              <w:sz w:val="16"/>
              <w:szCs w:val="16"/>
            </w:rPr>
            <w:t>който се осъществява с финансовата подкрепа на Програма „Развитие на регионите” 2021-2027 г., с</w:t>
          </w:r>
          <w:r w:rsidR="00806527">
            <w:rPr>
              <w:rFonts w:eastAsia="Times New Roman"/>
              <w:i/>
              <w:sz w:val="16"/>
              <w:szCs w:val="16"/>
            </w:rPr>
            <w:t>ссс</w:t>
          </w:r>
          <w:r w:rsidRPr="00F5390C">
            <w:rPr>
              <w:rFonts w:eastAsia="Times New Roman"/>
              <w:i/>
              <w:sz w:val="16"/>
              <w:szCs w:val="16"/>
            </w:rPr>
            <w:t>ъфинансирана от Европейския съюз чрез Европейския фонд за регионално развитие.</w:t>
          </w:r>
          <w:r w:rsidR="00806527" w:rsidRPr="00F5390C">
            <w:rPr>
              <w:rFonts w:eastAsia="Times New Roman"/>
              <w:i/>
              <w:sz w:val="16"/>
              <w:szCs w:val="16"/>
            </w:rPr>
            <w:t xml:space="preserve"> Цялата отговорност за съдържанието на публикацията се носи от</w:t>
          </w:r>
          <w:r w:rsidR="00806527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806527">
            <w:rPr>
              <w:rFonts w:eastAsia="Times New Roman"/>
              <w:i/>
              <w:sz w:val="16"/>
              <w:szCs w:val="16"/>
            </w:rPr>
            <w:t>„УМБАЛ д-р Георги Странски“ ЕАД.</w:t>
          </w:r>
        </w:p>
      </w:tc>
    </w:tr>
  </w:tbl>
  <w:p w14:paraId="36E59E8E" w14:textId="77777777" w:rsidR="00626596" w:rsidRDefault="006265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CBE6" w14:textId="45A3D14D" w:rsidR="00992B05" w:rsidRDefault="00992B05" w:rsidP="006420DA">
    <w:pPr>
      <w:pBdr>
        <w:bottom w:val="single" w:sz="6" w:space="1" w:color="auto"/>
      </w:pBdr>
      <w:tabs>
        <w:tab w:val="center" w:pos="4153"/>
        <w:tab w:val="right" w:pos="8306"/>
      </w:tabs>
      <w:spacing w:after="0"/>
      <w:jc w:val="center"/>
      <w:rPr>
        <w:rFonts w:eastAsia="Times New Roman"/>
        <w:i/>
        <w:sz w:val="18"/>
        <w:szCs w:val="18"/>
      </w:rPr>
    </w:pPr>
  </w:p>
  <w:tbl>
    <w:tblPr>
      <w:tblStyle w:val="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627"/>
    </w:tblGrid>
    <w:tr w:rsidR="00992B05" w14:paraId="541325EF" w14:textId="77777777" w:rsidTr="00992B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" w:type="dxa"/>
          <w:tcBorders>
            <w:bottom w:val="none" w:sz="0" w:space="0" w:color="auto"/>
          </w:tcBorders>
        </w:tcPr>
        <w:p w14:paraId="5FB5AA11" w14:textId="45A3D14D" w:rsidR="00992B05" w:rsidRDefault="00992B05" w:rsidP="00992B05">
          <w:pPr>
            <w:spacing w:before="120"/>
            <w:jc w:val="both"/>
            <w:rPr>
              <w:rFonts w:ascii="Times New Roman" w:hAnsi="Times New Roman" w:cs="Times New Roman"/>
              <w:b w:val="0"/>
              <w:sz w:val="24"/>
              <w:szCs w:val="24"/>
              <w:u w:val="single"/>
            </w:rPr>
          </w:pPr>
        </w:p>
      </w:tc>
      <w:tc>
        <w:tcPr>
          <w:tcW w:w="9627" w:type="dxa"/>
          <w:tcBorders>
            <w:bottom w:val="none" w:sz="0" w:space="0" w:color="auto"/>
          </w:tcBorders>
          <w:vAlign w:val="center"/>
        </w:tcPr>
        <w:p w14:paraId="574A2FA8" w14:textId="300A3EBB" w:rsidR="00992B05" w:rsidRPr="00992B05" w:rsidRDefault="00F5390C" w:rsidP="00626596">
          <w:pPr>
            <w:tabs>
              <w:tab w:val="center" w:pos="4153"/>
              <w:tab w:val="right" w:pos="8306"/>
            </w:tabs>
            <w:spacing w:after="0"/>
            <w:ind w:left="-532" w:firstLine="5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 w:cs="Times New Roman"/>
              <w:sz w:val="16"/>
              <w:szCs w:val="16"/>
            </w:rPr>
          </w:pPr>
          <w:r w:rsidRPr="00F5390C">
            <w:rPr>
              <w:rFonts w:eastAsia="Times New Roman"/>
              <w:i/>
              <w:sz w:val="16"/>
              <w:szCs w:val="16"/>
            </w:rPr>
            <w:t xml:space="preserve">Този документ е създаден в рамките на </w:t>
          </w:r>
          <w:r>
            <w:rPr>
              <w:rFonts w:eastAsia="Times New Roman"/>
              <w:i/>
              <w:sz w:val="16"/>
              <w:szCs w:val="16"/>
            </w:rPr>
            <w:t>проект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 </w:t>
          </w:r>
          <w:r w:rsidR="00216107" w:rsidRPr="00216107">
            <w:rPr>
              <w:rFonts w:eastAsia="Times New Roman"/>
              <w:i/>
              <w:sz w:val="16"/>
              <w:szCs w:val="16"/>
            </w:rPr>
            <w:t>BG16FFPR003-2.002-0012</w:t>
          </w:r>
          <w:r w:rsidR="00216107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 xml:space="preserve">“ </w:t>
          </w:r>
          <w:r w:rsidR="00216107" w:rsidRPr="00216107">
            <w:rPr>
              <w:rFonts w:eastAsia="Times New Roman"/>
              <w:i/>
              <w:sz w:val="16"/>
              <w:szCs w:val="16"/>
            </w:rPr>
            <w:t>Единно здраве за Северозападен регион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>“</w:t>
          </w:r>
          <w:r>
            <w:rPr>
              <w:rFonts w:eastAsia="Times New Roman"/>
              <w:i/>
              <w:sz w:val="16"/>
              <w:szCs w:val="16"/>
            </w:rPr>
            <w:t xml:space="preserve"> АДБФП </w:t>
          </w:r>
          <w:r w:rsidR="00626596">
            <w:rPr>
              <w:rFonts w:eastAsia="Times New Roman"/>
              <w:i/>
              <w:sz w:val="16"/>
              <w:szCs w:val="16"/>
            </w:rPr>
            <w:t>BG16FFPR003-2.006-0021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>,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който се осъществява с финансовата подкрепа на Програма „Развитие на регионите” 2021-2027 г., </w:t>
          </w:r>
          <w:r w:rsidR="00AE2DE3">
            <w:rPr>
              <w:rFonts w:eastAsia="Times New Roman"/>
              <w:i/>
              <w:sz w:val="16"/>
              <w:szCs w:val="16"/>
            </w:rPr>
            <w:t xml:space="preserve">        сссс</w:t>
          </w:r>
          <w:r w:rsidRPr="00F5390C">
            <w:rPr>
              <w:rFonts w:eastAsia="Times New Roman"/>
              <w:i/>
              <w:sz w:val="16"/>
              <w:szCs w:val="16"/>
            </w:rPr>
            <w:t>ъфинансирана от Европейския съюз чрез Европейския фонд за регионално развитие.</w:t>
          </w:r>
          <w:r w:rsidR="00AE2DE3" w:rsidRPr="00F5390C">
            <w:rPr>
              <w:rFonts w:eastAsia="Times New Roman"/>
              <w:i/>
              <w:sz w:val="16"/>
              <w:szCs w:val="16"/>
            </w:rPr>
            <w:t xml:space="preserve"> Цялата отговорност за съдържанието на публикацията се носи от</w:t>
          </w:r>
          <w:r w:rsidR="00AE2DE3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AE2DE3">
            <w:rPr>
              <w:rFonts w:eastAsia="Times New Roman"/>
              <w:i/>
              <w:sz w:val="16"/>
              <w:szCs w:val="16"/>
            </w:rPr>
            <w:t>„УМБАЛ д-р Георги Странски“ ЕАД.</w:t>
          </w:r>
        </w:p>
      </w:tc>
    </w:tr>
  </w:tbl>
  <w:p w14:paraId="76E83771" w14:textId="77777777" w:rsidR="00992B05" w:rsidRPr="00992B05" w:rsidRDefault="00992B05" w:rsidP="006420DA">
    <w:pPr>
      <w:tabs>
        <w:tab w:val="center" w:pos="4153"/>
        <w:tab w:val="right" w:pos="8306"/>
      </w:tabs>
      <w:spacing w:after="0"/>
      <w:jc w:val="center"/>
      <w:rPr>
        <w:rFonts w:eastAsia="Times New Roman"/>
        <w:sz w:val="18"/>
        <w:szCs w:val="18"/>
      </w:rPr>
    </w:pPr>
  </w:p>
  <w:p w14:paraId="64A3066C" w14:textId="77777777" w:rsidR="00992B05" w:rsidRDefault="00992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500A" w14:textId="77777777" w:rsidR="00A04BB1" w:rsidRDefault="00A04BB1">
      <w:pPr>
        <w:spacing w:after="0" w:line="240" w:lineRule="auto"/>
      </w:pPr>
      <w:r>
        <w:separator/>
      </w:r>
    </w:p>
  </w:footnote>
  <w:footnote w:type="continuationSeparator" w:id="0">
    <w:p w14:paraId="2275156A" w14:textId="77777777" w:rsidR="00A04BB1" w:rsidRDefault="00A0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DB62" w14:textId="77777777" w:rsidR="00AE2DE3" w:rsidRDefault="00AE2D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6D3B" w14:textId="77777777" w:rsidR="00AE2DE3" w:rsidRDefault="00AE2D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EA97" w14:textId="3CA2429D" w:rsidR="00F30249" w:rsidRDefault="00F30249">
    <w:pPr>
      <w:pStyle w:val="a7"/>
    </w:pPr>
  </w:p>
  <w:p w14:paraId="37E258A1" w14:textId="48469BE5" w:rsidR="00944C53" w:rsidRDefault="00944C53">
    <w:pPr>
      <w:pStyle w:val="a7"/>
    </w:pPr>
  </w:p>
  <w:tbl>
    <w:tblPr>
      <w:tblStyle w:val="a9"/>
      <w:tblW w:w="10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3927"/>
      <w:gridCol w:w="3304"/>
    </w:tblGrid>
    <w:tr w:rsidR="00216107" w14:paraId="310B207D" w14:textId="77777777" w:rsidTr="00216107">
      <w:tc>
        <w:tcPr>
          <w:tcW w:w="3303" w:type="dxa"/>
        </w:tcPr>
        <w:p w14:paraId="349F8A5F" w14:textId="2E6B00BA" w:rsidR="00944C53" w:rsidRDefault="00216107">
          <w:pPr>
            <w:pStyle w:val="a7"/>
          </w:pPr>
          <w:r w:rsidRPr="00216107">
            <w:rPr>
              <w:noProof/>
              <w:lang w:eastAsia="bg-BG"/>
            </w:rPr>
            <w:drawing>
              <wp:inline distT="0" distB="0" distL="0" distR="0" wp14:anchorId="5A079A76" wp14:editId="127F04F0">
                <wp:extent cx="1857375" cy="50092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115" cy="511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</w:tcPr>
        <w:p w14:paraId="678C2CBC" w14:textId="2DC03AC4" w:rsidR="00944C53" w:rsidRPr="00216107" w:rsidRDefault="00AE7C3B" w:rsidP="00216107">
          <w:pPr>
            <w:pStyle w:val="a7"/>
            <w:tabs>
              <w:tab w:val="clear" w:pos="4536"/>
              <w:tab w:val="center" w:pos="3570"/>
            </w:tabs>
            <w:jc w:val="center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noProof/>
              <w:sz w:val="36"/>
              <w:szCs w:val="36"/>
              <w:lang w:eastAsia="bg-BG"/>
            </w:rPr>
            <w:drawing>
              <wp:inline distT="0" distB="0" distL="0" distR="0" wp14:anchorId="1949A31C" wp14:editId="098EE87F">
                <wp:extent cx="1054801" cy="436504"/>
                <wp:effectExtent l="0" t="0" r="0" b="1905"/>
                <wp:docPr id="1818934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581" cy="4405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</w:tcPr>
        <w:p w14:paraId="079D1A6B" w14:textId="239D7D06" w:rsidR="00944C53" w:rsidRDefault="00216107" w:rsidP="00216107">
          <w:pPr>
            <w:pStyle w:val="a7"/>
            <w:jc w:val="center"/>
          </w:pPr>
          <w:r>
            <w:rPr>
              <w:noProof/>
              <w:lang w:eastAsia="bg-BG"/>
            </w:rPr>
            <w:drawing>
              <wp:inline distT="0" distB="0" distL="0" distR="0" wp14:anchorId="66D8D9F1" wp14:editId="5A5121C1">
                <wp:extent cx="1056376" cy="5626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256" cy="57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6279C73" w14:textId="03E3EB0D" w:rsidR="00F30249" w:rsidRPr="0090354A" w:rsidRDefault="0090354A">
    <w:pPr>
      <w:pStyle w:val="a7"/>
      <w:rPr>
        <w:lang w:val="en-US"/>
      </w:rPr>
    </w:pPr>
    <w:r>
      <w:rPr>
        <w:lang w:val="en-US"/>
      </w:rPr>
      <w:t>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C0E"/>
    <w:multiLevelType w:val="multilevel"/>
    <w:tmpl w:val="4B7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C713"/>
    <w:multiLevelType w:val="singleLevel"/>
    <w:tmpl w:val="0D23C71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C11D6B"/>
    <w:multiLevelType w:val="hybridMultilevel"/>
    <w:tmpl w:val="DC3A1616"/>
    <w:lvl w:ilvl="0" w:tplc="73B0C76A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0A3D66"/>
    <w:multiLevelType w:val="multilevel"/>
    <w:tmpl w:val="C25A7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3931CB"/>
    <w:multiLevelType w:val="multilevel"/>
    <w:tmpl w:val="343931C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1C3B"/>
    <w:multiLevelType w:val="hybridMultilevel"/>
    <w:tmpl w:val="FCEA2B64"/>
    <w:lvl w:ilvl="0" w:tplc="87B83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A69B6"/>
    <w:multiLevelType w:val="hybridMultilevel"/>
    <w:tmpl w:val="884AEBF6"/>
    <w:lvl w:ilvl="0" w:tplc="F58C9170">
      <w:start w:val="1"/>
      <w:numFmt w:val="russianLow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C621A"/>
    <w:multiLevelType w:val="hybridMultilevel"/>
    <w:tmpl w:val="5DD06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2502">
    <w:abstractNumId w:val="1"/>
  </w:num>
  <w:num w:numId="2" w16cid:durableId="1819608532">
    <w:abstractNumId w:val="4"/>
  </w:num>
  <w:num w:numId="3" w16cid:durableId="1996253406">
    <w:abstractNumId w:val="3"/>
  </w:num>
  <w:num w:numId="4" w16cid:durableId="1153565758">
    <w:abstractNumId w:val="5"/>
  </w:num>
  <w:num w:numId="5" w16cid:durableId="1535849176">
    <w:abstractNumId w:val="6"/>
  </w:num>
  <w:num w:numId="6" w16cid:durableId="1976638870">
    <w:abstractNumId w:val="7"/>
  </w:num>
  <w:num w:numId="7" w16cid:durableId="900866422">
    <w:abstractNumId w:val="2"/>
  </w:num>
  <w:num w:numId="8" w16cid:durableId="4531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F2"/>
    <w:rsid w:val="0000702F"/>
    <w:rsid w:val="00072838"/>
    <w:rsid w:val="0008229B"/>
    <w:rsid w:val="00114663"/>
    <w:rsid w:val="00150562"/>
    <w:rsid w:val="0015647B"/>
    <w:rsid w:val="00161E83"/>
    <w:rsid w:val="00177DCF"/>
    <w:rsid w:val="001828D7"/>
    <w:rsid w:val="001837FB"/>
    <w:rsid w:val="001A09A9"/>
    <w:rsid w:val="001B23F2"/>
    <w:rsid w:val="0020739F"/>
    <w:rsid w:val="00216107"/>
    <w:rsid w:val="00221BF2"/>
    <w:rsid w:val="002237D7"/>
    <w:rsid w:val="00223CD8"/>
    <w:rsid w:val="00226301"/>
    <w:rsid w:val="00257F2B"/>
    <w:rsid w:val="00270995"/>
    <w:rsid w:val="002B1E7D"/>
    <w:rsid w:val="002D5D0B"/>
    <w:rsid w:val="002E672D"/>
    <w:rsid w:val="002F014B"/>
    <w:rsid w:val="002F1382"/>
    <w:rsid w:val="003473C1"/>
    <w:rsid w:val="003840DF"/>
    <w:rsid w:val="00392DE4"/>
    <w:rsid w:val="003E75B5"/>
    <w:rsid w:val="004032D2"/>
    <w:rsid w:val="00413408"/>
    <w:rsid w:val="00422C76"/>
    <w:rsid w:val="00441BAC"/>
    <w:rsid w:val="004718AD"/>
    <w:rsid w:val="0048241C"/>
    <w:rsid w:val="004A3BC1"/>
    <w:rsid w:val="004E7141"/>
    <w:rsid w:val="00507A74"/>
    <w:rsid w:val="005404BD"/>
    <w:rsid w:val="0054520A"/>
    <w:rsid w:val="00547A0C"/>
    <w:rsid w:val="00553A92"/>
    <w:rsid w:val="00554675"/>
    <w:rsid w:val="0055490A"/>
    <w:rsid w:val="00560EB7"/>
    <w:rsid w:val="00575E02"/>
    <w:rsid w:val="00582AA7"/>
    <w:rsid w:val="00590B10"/>
    <w:rsid w:val="005A75DF"/>
    <w:rsid w:val="00603454"/>
    <w:rsid w:val="00607596"/>
    <w:rsid w:val="00626596"/>
    <w:rsid w:val="006420DA"/>
    <w:rsid w:val="006453E9"/>
    <w:rsid w:val="0066120D"/>
    <w:rsid w:val="0066159A"/>
    <w:rsid w:val="0069354E"/>
    <w:rsid w:val="006D0078"/>
    <w:rsid w:val="006D428F"/>
    <w:rsid w:val="007274DF"/>
    <w:rsid w:val="0076075D"/>
    <w:rsid w:val="00767A7C"/>
    <w:rsid w:val="007A24E0"/>
    <w:rsid w:val="007A65B7"/>
    <w:rsid w:val="007C53E1"/>
    <w:rsid w:val="007E54CF"/>
    <w:rsid w:val="007F5869"/>
    <w:rsid w:val="00806527"/>
    <w:rsid w:val="0080682C"/>
    <w:rsid w:val="00812603"/>
    <w:rsid w:val="00830D80"/>
    <w:rsid w:val="0085561C"/>
    <w:rsid w:val="00881219"/>
    <w:rsid w:val="00887016"/>
    <w:rsid w:val="008872E1"/>
    <w:rsid w:val="008959CD"/>
    <w:rsid w:val="008A3ABA"/>
    <w:rsid w:val="008B7F8C"/>
    <w:rsid w:val="0090354A"/>
    <w:rsid w:val="0092292B"/>
    <w:rsid w:val="0092344A"/>
    <w:rsid w:val="009352DC"/>
    <w:rsid w:val="009371E0"/>
    <w:rsid w:val="00944C53"/>
    <w:rsid w:val="00952345"/>
    <w:rsid w:val="00954B71"/>
    <w:rsid w:val="00970C49"/>
    <w:rsid w:val="00992B05"/>
    <w:rsid w:val="00994D93"/>
    <w:rsid w:val="009B679B"/>
    <w:rsid w:val="009C501B"/>
    <w:rsid w:val="009F347B"/>
    <w:rsid w:val="00A0065B"/>
    <w:rsid w:val="00A04BB1"/>
    <w:rsid w:val="00A22935"/>
    <w:rsid w:val="00A465EB"/>
    <w:rsid w:val="00A50487"/>
    <w:rsid w:val="00A54E79"/>
    <w:rsid w:val="00A837F7"/>
    <w:rsid w:val="00A93190"/>
    <w:rsid w:val="00A94331"/>
    <w:rsid w:val="00A94482"/>
    <w:rsid w:val="00AE2DE3"/>
    <w:rsid w:val="00AE7C3B"/>
    <w:rsid w:val="00AF28A3"/>
    <w:rsid w:val="00AF693A"/>
    <w:rsid w:val="00B136DE"/>
    <w:rsid w:val="00B173F4"/>
    <w:rsid w:val="00B406EA"/>
    <w:rsid w:val="00B45C23"/>
    <w:rsid w:val="00B52701"/>
    <w:rsid w:val="00B83D0E"/>
    <w:rsid w:val="00B87E5C"/>
    <w:rsid w:val="00BB4BAD"/>
    <w:rsid w:val="00BE3EE0"/>
    <w:rsid w:val="00C02B6A"/>
    <w:rsid w:val="00C45347"/>
    <w:rsid w:val="00C541F2"/>
    <w:rsid w:val="00CF0160"/>
    <w:rsid w:val="00D406C4"/>
    <w:rsid w:val="00D4613E"/>
    <w:rsid w:val="00D5220F"/>
    <w:rsid w:val="00D52DD3"/>
    <w:rsid w:val="00D83299"/>
    <w:rsid w:val="00DA41A7"/>
    <w:rsid w:val="00DB3051"/>
    <w:rsid w:val="00DC726E"/>
    <w:rsid w:val="00E0069B"/>
    <w:rsid w:val="00E0485E"/>
    <w:rsid w:val="00E128A6"/>
    <w:rsid w:val="00E165A8"/>
    <w:rsid w:val="00E1694C"/>
    <w:rsid w:val="00E235C4"/>
    <w:rsid w:val="00E37926"/>
    <w:rsid w:val="00E6257C"/>
    <w:rsid w:val="00E64786"/>
    <w:rsid w:val="00EA0C15"/>
    <w:rsid w:val="00EE4F2D"/>
    <w:rsid w:val="00EF6FA3"/>
    <w:rsid w:val="00F2612F"/>
    <w:rsid w:val="00F30249"/>
    <w:rsid w:val="00F42A35"/>
    <w:rsid w:val="00F5390C"/>
    <w:rsid w:val="00F75FC0"/>
    <w:rsid w:val="00F96503"/>
    <w:rsid w:val="00FA2D70"/>
    <w:rsid w:val="0E76232B"/>
    <w:rsid w:val="16AA453D"/>
    <w:rsid w:val="42A24440"/>
    <w:rsid w:val="508402AD"/>
    <w:rsid w:val="7CE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F65B"/>
  <w15:docId w15:val="{377E1816-4AB4-4B5A-8D64-20DD7F3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Долен колонтитул Знак"/>
    <w:basedOn w:val="a0"/>
    <w:link w:val="a5"/>
    <w:uiPriority w:val="99"/>
    <w:qFormat/>
  </w:style>
  <w:style w:type="character" w:customStyle="1" w:styleId="a8">
    <w:name w:val="Горен колонтитул Знак"/>
    <w:basedOn w:val="a0"/>
    <w:link w:val="a7"/>
    <w:uiPriority w:val="99"/>
    <w:qFormat/>
  </w:style>
  <w:style w:type="paragraph" w:styleId="ab">
    <w:name w:val="Balloon Text"/>
    <w:basedOn w:val="a"/>
    <w:link w:val="ac"/>
    <w:uiPriority w:val="99"/>
    <w:semiHidden/>
    <w:unhideWhenUsed/>
    <w:rsid w:val="0015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15647B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812603"/>
    <w:rPr>
      <w:color w:val="5F5F5F" w:themeColor="hyperlink"/>
      <w:u w:val="single"/>
    </w:rPr>
  </w:style>
  <w:style w:type="table" w:styleId="1">
    <w:name w:val="Grid Table 1 Light"/>
    <w:basedOn w:val="a1"/>
    <w:uiPriority w:val="46"/>
    <w:rsid w:val="001146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e">
    <w:name w:val="Знак"/>
    <w:basedOn w:val="a"/>
    <w:rsid w:val="0000702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031F3-A835-4ADB-8EEF-6F57E477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Staff</cp:lastModifiedBy>
  <cp:revision>30</cp:revision>
  <dcterms:created xsi:type="dcterms:W3CDTF">2025-11-25T07:29:00Z</dcterms:created>
  <dcterms:modified xsi:type="dcterms:W3CDTF">2025-12-05T11:28:00Z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